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11787.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588.4536082474224"/>
        <w:gridCol w:w="10198.762886597939"/>
        <w:gridCol w:w="-3"/>
        <w:gridCol w:w="-3"/>
      </w:tblGrid>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sz w:val="24"/>
                <w:highlight w:val="none"/>
                <w:rtl w:val="0"/>
              </w:rPr>
              <w:t xml:space="preserve">“</w:t>
            </w:r>
            <w:r w:rsidRPr="00000000" w:rsidR="00000000" w:rsidDel="00000000">
              <w:rPr>
                <w:sz w:val="20"/>
                <w:highlight w:val="none"/>
                <w:rtl w:val="0"/>
              </w:rPr>
              <w:t xml:space="preserve">Rethinking Environmental Racism” seems, to me, to be part of a continuing theme in STS, which acts to blur the lines between the natural and the social. Mascarenhas clearly shows how environmental forces are connected to environmental and institutional racism. Of particular importance is the continuing production of white privilege – “unearned race advantage and conferred dominance” (10) - through disadvantaging minorities. I think this notion of racism shaping place (12), is a compelling way to frame inequalities in materialized ways.</w:t>
            </w:r>
          </w:p>
          <w:p w:rsidP="00000000" w:rsidRPr="00000000" w:rsidR="00000000" w:rsidDel="00000000" w:rsidRDefault="00000000">
            <w:pPr>
              <w:spacing w:lineRule="auto" w:after="0" w:line="240" w:before="0"/>
            </w:pPr>
            <w:r w:rsidRPr="00000000" w:rsidR="00000000" w:rsidDel="00000000">
              <w:rPr>
                <w:sz w:val="20"/>
                <w:highlight w:val="none"/>
                <w:rtl w:val="0"/>
              </w:rPr>
              <w:t xml:space="preserve">The way that racism shapes place made me think of the film, </w:t>
            </w:r>
            <w:r w:rsidRPr="00000000" w:rsidR="00000000" w:rsidDel="00000000">
              <w:rPr>
                <w:i w:val="1"/>
                <w:sz w:val="20"/>
                <w:highlight w:val="none"/>
                <w:rtl w:val="0"/>
              </w:rPr>
              <w:t xml:space="preserve">The Return of Navajo Boy,</w:t>
            </w:r>
            <w:r w:rsidRPr="00000000" w:rsidR="00000000" w:rsidDel="00000000">
              <w:rPr>
                <w:sz w:val="20"/>
                <w:highlight w:val="none"/>
                <w:rtl w:val="0"/>
              </w:rPr>
              <w:t xml:space="preserve"> that I work for as a community and college outreach coordinator, a number of years ago in Chicago.</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hyperlink r:id="rId5">
              <w:r w:rsidRPr="00000000" w:rsidR="00000000" w:rsidDel="00000000">
                <w:rPr>
                  <w:color w:val="1155cc"/>
                  <w:sz w:val="20"/>
                  <w:highlight w:val="none"/>
                  <w:u w:val="single"/>
                  <w:rtl w:val="0"/>
                </w:rPr>
                <w:t xml:space="preserve">http://navajoboy.com/</w:t>
              </w:r>
            </w:hyperlink>
            <w:r w:rsidRPr="00000000" w:rsidR="00000000" w:rsidDel="00000000">
              <w:rPr>
                <w:sz w:val="20"/>
                <w:highlight w:val="none"/>
                <w:rtl w:val="0"/>
              </w:rPr>
              <w:t xml:space="preserve"> - Also the Navajo Water Quality Project: </w:t>
            </w:r>
            <w:hyperlink r:id="rId6">
              <w:r w:rsidRPr="00000000" w:rsidR="00000000" w:rsidDel="00000000">
                <w:rPr>
                  <w:color w:val="1155cc"/>
                  <w:sz w:val="20"/>
                  <w:highlight w:val="none"/>
                  <w:u w:val="single"/>
                  <w:rtl w:val="0"/>
                </w:rPr>
                <w:t xml:space="preserve">http://navajowater.org/</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drawing>
                <wp:inline>
                  <wp:extent cy="1685925" cx="1266825"/>
                  <wp:docPr id="1" name="image00.jpg"/>
                  <a:graphic>
                    <a:graphicData uri="http://schemas.openxmlformats.org/drawingml/2006/picture">
                      <pic:pic>
                        <pic:nvPicPr>
                          <pic:cNvPr id="0" name="image00.jpg"/>
                          <pic:cNvPicPr preferRelativeResize="0"/>
                        </pic:nvPicPr>
                        <pic:blipFill>
                          <a:blip r:embed="rId7"/>
                          <a:stretch>
                            <a:fillRect/>
                          </a:stretch>
                        </pic:blipFill>
                        <pic:spPr>
                          <a:xfrm>
                            <a:ext cy="1685925" cx="126682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The filmmaker, Jeff Spitz (prof. of documentary film and video at Columbia College Chicago – REPRESENT!), uses the narrative of a reunion between mother and son to localize the health issues caused by uranium-contaminated soil on Navajo land in Monument Valley. The film has been influential in EPA clean up projects of uranium mines. I hypothesis that white privilege may also be apparent in this case, perhaps a historical institutional analysis of the mining companies would provide insight.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I also think that white privilege would be a useful way to draw on Bickford’s discussion of gates and segregation in the case of the street-grid designs in Chicago. Chicago continues to be a city divided along lines of race, more than class. I wonder how the design of street that cut off and start back up at later points and the development of gated public streets and parks can be discussed as the continuing production of white privilege.  </w:t>
            </w:r>
          </w:p>
          <w:p w:rsidP="00000000" w:rsidRPr="00000000" w:rsidR="00000000" w:rsidDel="00000000" w:rsidRDefault="00000000">
            <w:pPr>
              <w:spacing w:lineRule="auto" w:after="0" w:line="240" w:before="0"/>
            </w:pPr>
            <w:r w:rsidRPr="00000000" w:rsidR="00000000" w:rsidDel="00000000">
              <w:drawing>
                <wp:inline>
                  <wp:extent cy="2432115" cx="3242821"/>
                  <wp:docPr id="2" name="image01.jpg"/>
                  <a:graphic>
                    <a:graphicData uri="http://schemas.openxmlformats.org/drawingml/2006/picture">
                      <pic:pic>
                        <pic:nvPicPr>
                          <pic:cNvPr id="0" name="image01.jpg"/>
                          <pic:cNvPicPr preferRelativeResize="0"/>
                        </pic:nvPicPr>
                        <pic:blipFill>
                          <a:blip r:embed="rId8"/>
                          <a:stretch>
                            <a:fillRect/>
                          </a:stretch>
                        </pic:blipFill>
                        <pic:spPr>
                          <a:xfrm>
                            <a:ext cy="2432115" cx="3242821"/>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This picture of a class segregated play world (kelly 51) is taken, looking south from inside a public park off of 13th between Clark and State in Chicago. The buildings that are in the lower left of frame,  beyond the trees push up against gates that lead out from their backyards at State.. If you were to turn right the other buildings push up against a brick wall on Clark, that has a bridge on the other side. A recently gentrified area, this design reinforces Bickford’s use of the word “segregation,” keeping some people in and other out, an act of separation (361) Also the process of the privileged forgetting about the walls and gates is interesting (363). How is white privilege spatially and materially produced and reproduced through gentrification? And, is this public park surrounded by “new developments of late-twentieth century architecture” that is designed around “the fear of crime” (Kelly 50)?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see all three readings as describing similar power dynamics-made-physical in three different social environments: natural (Mascarenhas), built (Bickford), and cultural (Kelley). Each piece had a lot to say about materiality and while Bickford and Kelley aren’t coming from an STS perspective per se, I think all of these pieces do an excellent job of describing how power becomes physically inscribed in the world. For Mascarenhas its the siting of dumps and water treatment facilities, for Bickford its homes and gates (broadly defined), and for Kelley it is sites of play and the monetization of the products of certain kinds of play (namely basketball, music, and street art.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Trailer to Wild Style: </w:t>
            </w:r>
            <w:hyperlink r:id="rId9">
              <w:r w:rsidRPr="00000000" w:rsidR="00000000" w:rsidDel="00000000">
                <w:rPr>
                  <w:color w:val="1155cc"/>
                  <w:highlight w:val="none"/>
                  <w:u w:val="single"/>
                  <w:rtl w:val="0"/>
                </w:rPr>
                <w:t xml:space="preserve">http://youtu.be/Hee38-NV11E</w:t>
              </w:r>
            </w:hyperlink>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What is most interesting to me between Mascarenhas and Bickford is the ways in which racial and ethnic social arrangements are layered onto physical space through the building and allocating land to different purposes. The main difference is that Bickford, in my reading, is focused on the ways in which the production of 'home' and 'outside' are enabled by the act of 'purifying' the outside from elements thought of as unclean, dirty, dangerous, etc. (coded: non-white, non-affluent, non-American, etc.). To do this, means an act of production that "for them means increasing danger, discomfort, or outright exclusion for those typed as alien or unknown." (p. 363)</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This is a little bit of of phase with the argument Mascarenhas makes about the deployment of environmental racism in that: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"These studies of environmental racism, while important for highlighting how specific groups are disproportionately affected, assume 'that racism and its effects can be isolated, and scholars should be able to “catch it in the act” as it were” . The problem with this line of inquiry is the assumption that we agree on what racism is and how it works. These framings of “environmental problems” and “racism” serve to eclipse the more pervasive and hegemonic nature of racial inequity embedded in larger social institutions and structures." (p. 3)</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So while the source of power, institutional formations of the dominant group, are pointed to, to which extent it is malicious, or intentional seems to have different levels of attention. Bickford seems to want to argue that the institutional pressures to act in this way, unconscious or not, or driven by a kind of 'Fear of Impurity' as a logic, while Mascarenhas pushes to look at the way in which people taking part in the institution in itself produce the consequences of racism even while their privilege enables them to say that they are not malicious. I kept thinking that Winner's work could be really important for bridging the gap between intentionality and the work of laid in institution, though Winner focuses more on built technology than ideological formations.</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The anti-neoliberal position taken by all three papers made for an interesting read, comparing the different ways in which the authors dealt with (de)regulation and privatization.</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I liked the Mascarenas paper’s attempt to rethink environmental racism, particularly into the terms of structural, hegemonic racism and white privilege. Whereas we generally tend to see outrageous environmental accidents and their effects on minority populations as accidents or mistakes, Mascarenas manages to show how at least some of these environmental disasters are results of systemic racism. This is difficult: there are no explicitly racist people in the entire picture, and yet the end result is clearly racist.</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I was curious about the assertion that “This form of unequal exchange—pollution in one area and wealth generation for another—is a particular institutional and structural feature of neoliberalism, one that not only targets Indigenous resources and lands but also protects the privileges of white Canadians to </w:t>
            </w:r>
            <w:r w:rsidRPr="00000000" w:rsidR="00000000" w:rsidDel="00000000">
              <w:rPr>
                <w:rFonts w:cs="Times New Roman" w:hAnsi="Times New Roman" w:eastAsia="Times New Roman" w:ascii="Times New Roman"/>
                <w:i w:val="1"/>
                <w:sz w:val="24"/>
                <w:highlight w:val="none"/>
                <w:rtl w:val="0"/>
              </w:rPr>
              <w:t xml:space="preserve">unearned </w:t>
            </w:r>
            <w:r w:rsidRPr="00000000" w:rsidR="00000000" w:rsidDel="00000000">
              <w:rPr>
                <w:rFonts w:cs="Times New Roman" w:hAnsi="Times New Roman" w:eastAsia="Times New Roman" w:ascii="Times New Roman"/>
                <w:sz w:val="24"/>
                <w:highlight w:val="none"/>
                <w:rtl w:val="0"/>
              </w:rPr>
              <w:t xml:space="preserve">political, economic, and ecological benefits,” (22). I doubt there is any way that Mascarenas would agree that whites have “earned” anything, so the emphasis on unearned is curious.</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I thought Bickford’s lamentation of the “fallen public man” interesting, and the appeal to Arendt’s acceptable public identities rather toothless. I think she’s getting at something worthwhile, but I’m not sure I’m ready to accept homeless people sleeping on the benches at the shopping malls as a consequence of the de-privitization or republic-ing of space. Also, I think it odd that the CCR-subdivisions are at one time criticized for curtailing freedoms, and then doubly criticized for choosing to succeed from the city’s public services. And how would this theory respond to the “Broken Windows” theory?</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Lastly, Kelley’s exploration of the “laborification of play” was rather innovative. And madd propz for trying (and failing, IMHO) to use that lens to crack the tough nut of black female prostitution. While it’s true the inequality a girl faces becomes stronger once she professionalizes her act, whereas the basketball player experiences the reverse (though the graffiti artist?), the empowering aspects of the profession are, by way of confession of many girls in the long documentaries such as </w:t>
            </w:r>
            <w:r w:rsidRPr="00000000" w:rsidR="00000000" w:rsidDel="00000000">
              <w:rPr>
                <w:rFonts w:cs="Times New Roman" w:hAnsi="Times New Roman" w:eastAsia="Times New Roman" w:ascii="Times New Roman"/>
                <w:i w:val="1"/>
                <w:sz w:val="24"/>
                <w:highlight w:val="none"/>
                <w:rtl w:val="0"/>
              </w:rPr>
              <w:t xml:space="preserve">Hookers on the Point,</w:t>
            </w:r>
            <w:r w:rsidRPr="00000000" w:rsidR="00000000" w:rsidDel="00000000">
              <w:rPr>
                <w:rFonts w:cs="Times New Roman" w:hAnsi="Times New Roman" w:eastAsia="Times New Roman" w:ascii="Times New Roman"/>
                <w:sz w:val="24"/>
                <w:highlight w:val="none"/>
                <w:rtl w:val="0"/>
              </w:rPr>
              <w:t xml:space="preserve"> only palpable in the beginning. After that, it’s a long hard road through imprisonment, rape, and drug addiction. That’s probably why low-cost professional hookers don’t get no respect: they become disease-vectors and dangers to the population at large. I wish it could be otherwise.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hyperlink r:id="rId10">
              <w:r w:rsidRPr="00000000" w:rsidR="00000000" w:rsidDel="00000000">
                <w:rPr>
                  <w:rFonts w:cs="Times New Roman" w:hAnsi="Times New Roman" w:eastAsia="Times New Roman" w:ascii="Times New Roman"/>
                  <w:color w:val="1155cc"/>
                  <w:sz w:val="24"/>
                  <w:highlight w:val="none"/>
                  <w:u w:val="single"/>
                  <w:rtl w:val="0"/>
                </w:rPr>
                <w:t xml:space="preserve">Hookers on the Point</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Within the Bickford piece, I found the conversation of public versus private and the privileging of hegemonic safety over day-to-day comfort/safety of marginalized groups within the public (ie homeless, African American youth, Latino youth, etc.) to be compelling. As stated, “These practices are inegalitarian because they produce the illusion of safety for some at the expense of actual danger and discomfort for others; they are undemocratic both because of that inequity and because they attempt to substitute one perspective for many, and in a way that obscures its singularity.” (358)</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On page 362, Bickford talks about how urban spaces are built for surveillance and how a particular type of space entitled, “prickly” space is created, which is also mentioned briefly in the beginning of Kelley’s piece when talking about the increasing hostility of urban environments as the need for “safety” increases. This definitely calls to mind public spaces within Philadelphia that have been increasingly over the years “safety-proofed” by the installment of bars on benches to prevent sleeping, insertion of sprinkler-systems in parks, and the cutting down of trees in Logan square park to make it more visible for surveillance.</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It led me to draw a conclusion of sorts between this work and the Mascarenhas reading, which also points to the problematics of privileging the “White Canadian” quality of life over that of First Nation communities and the subsequent rise of environmental racism.</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Issues with zoning and the governments willingness to change zones to privilege predominantly White Canadian “nice” suburbs and living spaces brings to mind government regulations within city spaces. In this sense, the city government works to create as previously mentioned “prickly” zones to prevent the comfort of the homeless for the “safetly” of the privileged citizens and to make the city look cleaner. Mascarenhas talks about the rezoning of spaces as being a key factor within these issues that also then makes it “possible for governments to distance themselves from practices that produce environmental and social inequality.” (15)</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There is also a correlation of privatization within these two readings, as well as in the Kelley piece regarding the privatization of playgrounds and play spaces as with DZ. In his piece, Mascarenhas points to selling of space and privatization of the waste management sector, which in turn increases the preference of business and monetary value for private companies over environmental concerns that actually affect the public, and a specific community within the public.</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So what are the implications of this? The privatization of public spaces and the use of such public spaces for the good of one privileged group over all the other publics is a major issue. What is with this blurring of the private into the public sphere? But obviously those who are marginalized are not reaping the benefits and are being pushed out of the public space, even when they often do not have a private to recess to.</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As Bickford states, “From whom is the presence of difference obscured? It is crucial to note that there is a distinct “public” in mind here and that these constructions embody its ascribed perspective and indeed are designed to obscure that the public has been reduced to a singular perspective.” (362) In the Mascarenhas piece, as he points out in the last paragraph, this singular perspective is quite apparently that of the White Canadians, and it would seem that the First Nation communities do not even fit within the “greater good” of the Canadian benefits landscape.</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Bickford is concerned with what kinds of solidarity, political imaginations, and configurations public/private domains are facilitated by the built environment and the “legal”/contractual, economic, etc. structures that accompany them, like deed restrictions.  Among other things, she argues that political institutions, which already play a role in shaping the “insides” and “outsides” of life in urban and suburban spaces, should towards “fuzzy” and “multilayered” spaces that foster heterogeneity, complexity, and an “outside togetherness” that “makes possible the recognition of others as presences in the polity” (370, 369). Is there a bit of a paradox in Bickford’s argument: We need a democratic process to build better spaces to facilitate the kinds of political imagination and sociality needed for real democratic processes? </w:t>
            </w:r>
          </w:p>
          <w:p w:rsidP="00000000" w:rsidRPr="00000000" w:rsidR="00000000" w:rsidDel="00000000" w:rsidRDefault="00000000">
            <w:pPr>
              <w:spacing w:lineRule="auto" w:after="0" w:line="240" w:before="0"/>
            </w:pPr>
            <w:r w:rsidRPr="00000000" w:rsidR="00000000" w:rsidDel="00000000">
              <w:rPr>
                <w:highlight w:val="none"/>
                <w:rtl w:val="0"/>
              </w:rPr>
              <w:t xml:space="preserve">Mascarenhas suggests that behind the phrase the “welfare of the country as a whole” is often uttered behind another kind of gated community that builds relevant publics through (in part) acts of spatial segregation. It might be interesting to ask some of Bickford’s questions to Mascarenhas, like: What kinds of solidarity can complicate the institutions of privilege towards which he points, and how is this solidarity facilitated/constrained/productive of certain sorts of geographies?</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Also, is it worth looking at and extending the political economy involved in these articles? How similar is the political economy of suburbanization, gentrification, and ecological risk?</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Finally, I didn’t quite get Giddens’ concept of “disembedding,” and how it relates to sacrifice zones. </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267.2164948453608" w:right="192.98969072164948"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http://youtu.be/OszrJ1cIqls" Type="http://schemas.openxmlformats.org/officeDocument/2006/relationships/hyperlink" TargetMode="External" Id="rId10"/><Relationship Target="styles.xml" Type="http://schemas.openxmlformats.org/officeDocument/2006/relationships/styles" Id="rId4"/><Relationship Target="numbering.xml" Type="http://schemas.openxmlformats.org/officeDocument/2006/relationships/numbering" Id="rId3"/><Relationship Target="http://youtu.be/Hee38-NV11E" Type="http://schemas.openxmlformats.org/officeDocument/2006/relationships/hyperlink" TargetMode="External" Id="rId9"/><Relationship Target="http://navajowater.org/" Type="http://schemas.openxmlformats.org/officeDocument/2006/relationships/hyperlink" TargetMode="External" Id="rId6"/><Relationship Target="http://navajoboy.com/" Type="http://schemas.openxmlformats.org/officeDocument/2006/relationships/hyperlink" TargetMode="External" Id="rId5"/><Relationship Target="media/image01.jpg" Type="http://schemas.openxmlformats.org/officeDocument/2006/relationships/image" Id="rId8"/><Relationship Target="media/image00.jpg" Type="http://schemas.openxmlformats.org/officeDocument/2006/relationships/image"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Nov 9.docx</dc:title>
</cp:coreProperties>
</file>